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7572FC" w:rsidP="007572FC">
      <w:pPr>
        <w:pStyle w:val="Docketnumber"/>
      </w:pPr>
      <w:r>
        <w:t xml:space="preserve">PUC DOCKET NO. </w:t>
      </w:r>
      <w:r w:rsidR="003170FC">
        <w:t>47712</w:t>
      </w:r>
      <w:r>
        <w:br/>
        <w:t>SOAH DOCKET NO. 473-1</w:t>
      </w:r>
      <w:r w:rsidR="00737D5E">
        <w:t>8</w:t>
      </w:r>
      <w:r>
        <w:t>-</w:t>
      </w:r>
      <w:r w:rsidR="00737D5E">
        <w:t>1227.WS</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C00148" w:rsidP="00C00148">
            <w:pPr>
              <w:pStyle w:val="Docketstyle"/>
            </w:pPr>
            <w:r>
              <w:t>FORMAL COMPLAINT OF NAOMI BARRON AGAINST LONGSPUR CROSSING APARTMENTS AND WESTDALE MANAGEMENT</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p>
          <w:p w:rsidR="00C00148" w:rsidRDefault="00C00148" w:rsidP="001E360C">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C00148" w:rsidRDefault="000C09B0" w:rsidP="008B6624">
      <w:pPr>
        <w:pStyle w:val="Titleoforder"/>
        <w:rPr>
          <w:highlight w:val="yellow"/>
        </w:rPr>
      </w:pPr>
      <w:r>
        <w:t xml:space="preserve">REVISED </w:t>
      </w:r>
      <w:r w:rsidR="0046644C">
        <w:t>DRAFT PRELIMINARY ORDER</w:t>
      </w:r>
    </w:p>
    <w:p w:rsidR="00C00148" w:rsidRDefault="00C00148" w:rsidP="008738BF">
      <w:pPr>
        <w:pStyle w:val="BodyText"/>
      </w:pPr>
      <w:r w:rsidRPr="00C00148">
        <w:t>Na</w:t>
      </w:r>
      <w:r>
        <w:t xml:space="preserve">omi </w:t>
      </w:r>
      <w:r w:rsidRPr="00C00148">
        <w:t xml:space="preserve">Barron filed a formal complaint against Longspur Crossing Apartments and </w:t>
      </w:r>
      <w:proofErr w:type="spellStart"/>
      <w:r w:rsidRPr="00C00148">
        <w:t>Westdale</w:t>
      </w:r>
      <w:proofErr w:type="spellEnd"/>
      <w:r w:rsidRPr="00C00148">
        <w:t xml:space="preserve"> Management, an apartment complex and its management </w:t>
      </w:r>
      <w:r w:rsidR="008B6624">
        <w:t xml:space="preserve">company </w:t>
      </w:r>
      <w:r w:rsidRPr="00C00148">
        <w:t>in Austin, Texas.  Ms. Barron alleges violations relating to her water rates and failure to make</w:t>
      </w:r>
      <w:r>
        <w:t xml:space="preserve"> </w:t>
      </w:r>
      <w:r w:rsidRPr="00C00148">
        <w:t>water</w:t>
      </w:r>
      <w:r w:rsidR="009B7451">
        <w:t>-</w:t>
      </w:r>
      <w:r w:rsidRPr="00C00148">
        <w:t xml:space="preserve">utility allocation records available for inspection.  In particular, Ms. Barron is alleging that Longspur and </w:t>
      </w:r>
      <w:proofErr w:type="spellStart"/>
      <w:r w:rsidRPr="00C00148">
        <w:t>Westdale</w:t>
      </w:r>
      <w:proofErr w:type="spellEnd"/>
      <w:r w:rsidRPr="00C00148">
        <w:t xml:space="preserve"> overcharged her for </w:t>
      </w:r>
      <w:r>
        <w:t>water usage</w:t>
      </w:r>
      <w:r w:rsidRPr="00C00148">
        <w:t xml:space="preserve"> by counting a non-resident guarantor on her lease as a resident in her apartment unit.  Ms. Barron further alleges that Longspur and </w:t>
      </w:r>
      <w:proofErr w:type="spellStart"/>
      <w:r w:rsidRPr="00C00148">
        <w:t>Westdale</w:t>
      </w:r>
      <w:proofErr w:type="spellEnd"/>
      <w:r w:rsidRPr="00C00148">
        <w:t xml:space="preserve"> have not been sufficiently responsive in explaining how her water bill was calculated. </w:t>
      </w:r>
    </w:p>
    <w:p w:rsidR="00C00148" w:rsidRDefault="00737D5E" w:rsidP="008738BF">
      <w:pPr>
        <w:pStyle w:val="BodyText"/>
      </w:pPr>
      <w:r>
        <w:t xml:space="preserve">In response to Ms. Barron’s complaint, </w:t>
      </w:r>
      <w:r w:rsidR="00125757">
        <w:t xml:space="preserve">Longspur and </w:t>
      </w:r>
      <w:proofErr w:type="spellStart"/>
      <w:r>
        <w:t>Westdale</w:t>
      </w:r>
      <w:proofErr w:type="spellEnd"/>
      <w:r>
        <w:t xml:space="preserve"> </w:t>
      </w:r>
      <w:r w:rsidR="00033669">
        <w:t xml:space="preserve">state that </w:t>
      </w:r>
      <w:proofErr w:type="spellStart"/>
      <w:r w:rsidR="00125757">
        <w:t>Westdale</w:t>
      </w:r>
      <w:proofErr w:type="spellEnd"/>
      <w:r w:rsidR="00033669">
        <w:t xml:space="preserve"> is not a proper party to the complaint because it is not an apartment house as defined by 16 Texas Administrative Code </w:t>
      </w:r>
      <w:r w:rsidR="009B7451">
        <w:t xml:space="preserve">(TAC) </w:t>
      </w:r>
      <w:r w:rsidR="00033669">
        <w:t>§ 24.121(2) or an owner as defined by 16 TAC § 24.121(10).</w:t>
      </w:r>
      <w:r w:rsidR="00033669">
        <w:rPr>
          <w:rStyle w:val="FootnoteReference"/>
        </w:rPr>
        <w:footnoteReference w:id="1"/>
      </w:r>
      <w:r w:rsidR="00033669">
        <w:t xml:space="preserve">  </w:t>
      </w:r>
      <w:r w:rsidR="00125757">
        <w:t xml:space="preserve">Longspur and </w:t>
      </w:r>
      <w:proofErr w:type="spellStart"/>
      <w:r w:rsidR="00033669">
        <w:t>Westdale</w:t>
      </w:r>
      <w:proofErr w:type="spellEnd"/>
      <w:r w:rsidR="00033669">
        <w:t xml:space="preserve"> additionally allege that</w:t>
      </w:r>
      <w:r w:rsidR="007D5244">
        <w:t>,</w:t>
      </w:r>
      <w:r w:rsidR="00033669">
        <w:t xml:space="preserve"> even if </w:t>
      </w:r>
      <w:proofErr w:type="spellStart"/>
      <w:r w:rsidR="00125757">
        <w:t>Westdale</w:t>
      </w:r>
      <w:proofErr w:type="spellEnd"/>
      <w:r w:rsidR="00125757">
        <w:t xml:space="preserve"> </w:t>
      </w:r>
      <w:r w:rsidR="00033669">
        <w:t xml:space="preserve">were a proper party to the complaint, Ms. Barron failed to exhaust her administrative remedies when she did not name </w:t>
      </w:r>
      <w:proofErr w:type="spellStart"/>
      <w:r w:rsidR="00033669">
        <w:t>Westdale</w:t>
      </w:r>
      <w:proofErr w:type="spellEnd"/>
      <w:r w:rsidR="00033669">
        <w:t xml:space="preserve"> in her informal complaint to the Commission and </w:t>
      </w:r>
      <w:r w:rsidR="00125757">
        <w:t>as a result</w:t>
      </w:r>
      <w:r w:rsidR="00033669">
        <w:t xml:space="preserve"> </w:t>
      </w:r>
      <w:proofErr w:type="spellStart"/>
      <w:r w:rsidR="00033669">
        <w:t>Westdale</w:t>
      </w:r>
      <w:proofErr w:type="spellEnd"/>
      <w:r w:rsidR="00033669">
        <w:t xml:space="preserve"> should be dismissed from this proceeding.</w:t>
      </w:r>
      <w:r w:rsidR="00033669">
        <w:rPr>
          <w:rStyle w:val="FootnoteReference"/>
        </w:rPr>
        <w:footnoteReference w:id="2"/>
      </w:r>
      <w:r w:rsidR="00033669">
        <w:t xml:space="preserve">  However, as noted by Commission Staff in its statement of position, the Commission was directed to address its questions regarding its informal investigation into this matter to </w:t>
      </w:r>
      <w:proofErr w:type="spellStart"/>
      <w:r w:rsidR="00033669">
        <w:t>Westdale</w:t>
      </w:r>
      <w:proofErr w:type="spellEnd"/>
      <w:r w:rsidR="00033669">
        <w:t>.</w:t>
      </w:r>
      <w:r w:rsidR="00033669">
        <w:rPr>
          <w:rStyle w:val="FootnoteReference"/>
        </w:rPr>
        <w:footnoteReference w:id="3"/>
      </w:r>
    </w:p>
    <w:p w:rsidR="00125757" w:rsidRDefault="00125757" w:rsidP="008738BF">
      <w:pPr>
        <w:pStyle w:val="BodyText"/>
      </w:pPr>
      <w:r>
        <w:t xml:space="preserve">Additionally, Longspur and </w:t>
      </w:r>
      <w:proofErr w:type="spellStart"/>
      <w:r>
        <w:t>Westdal</w:t>
      </w:r>
      <w:r w:rsidR="000C09B0">
        <w:t>e</w:t>
      </w:r>
      <w:proofErr w:type="spellEnd"/>
      <w:r>
        <w:t xml:space="preserve"> contend that</w:t>
      </w:r>
      <w:r w:rsidR="007D5244">
        <w:t>,</w:t>
      </w:r>
      <w:r>
        <w:t xml:space="preserve"> because Ms. Barron’s </w:t>
      </w:r>
      <w:proofErr w:type="spellStart"/>
      <w:r>
        <w:t>gaurantor’s</w:t>
      </w:r>
      <w:proofErr w:type="spellEnd"/>
      <w:r>
        <w:t xml:space="preserve"> name appeared on her original lease, the guarantor had the right to reside in her apartment unit and </w:t>
      </w:r>
      <w:r>
        <w:lastRenderedPageBreak/>
        <w:t xml:space="preserve">therefore it was reasonable for Longspur and </w:t>
      </w:r>
      <w:proofErr w:type="spellStart"/>
      <w:r>
        <w:t>Westdale</w:t>
      </w:r>
      <w:proofErr w:type="spellEnd"/>
      <w:r>
        <w:t xml:space="preserve"> to factor in there being two occupants in the unit when determining Ms. Barron’s water bill.</w:t>
      </w:r>
      <w:r>
        <w:rPr>
          <w:rStyle w:val="FootnoteReference"/>
        </w:rPr>
        <w:footnoteReference w:id="4"/>
      </w:r>
      <w:r>
        <w:t xml:space="preserve">  </w:t>
      </w:r>
    </w:p>
    <w:p w:rsidR="00125757" w:rsidRDefault="00125757" w:rsidP="008738BF">
      <w:pPr>
        <w:pStyle w:val="BodyText"/>
        <w:rPr>
          <w:highlight w:val="yellow"/>
        </w:rPr>
      </w:pPr>
      <w:r>
        <w:t>On December 4, 2017, the Commission issued an order of referral to the State Office of Administrative Hearings</w:t>
      </w:r>
      <w:r w:rsidR="00034E63">
        <w:t xml:space="preserve"> (SOAH)</w:t>
      </w:r>
      <w:r>
        <w:t xml:space="preserve">.  This order directed Ms. Barron, Longspur, and </w:t>
      </w:r>
      <w:proofErr w:type="spellStart"/>
      <w:r>
        <w:t>Westdale</w:t>
      </w:r>
      <w:proofErr w:type="spellEnd"/>
      <w:r>
        <w:t xml:space="preserve"> to file lists </w:t>
      </w:r>
      <w:r w:rsidR="00667A20">
        <w:t>of issues</w:t>
      </w:r>
      <w:r w:rsidR="007D5244">
        <w:t>,</w:t>
      </w:r>
      <w:r w:rsidR="00667A20">
        <w:t xml:space="preserve"> and the Commission Staff and other interested parties could file lists of issues by December 15, 2017.  On December 1</w:t>
      </w:r>
      <w:r w:rsidR="001C6CB7">
        <w:t>3</w:t>
      </w:r>
      <w:r w:rsidR="00667A20">
        <w:t xml:space="preserve">, Commission Staff timely filed a list of issues.  Neither Ms. Barron, nor Longspur or </w:t>
      </w:r>
      <w:proofErr w:type="spellStart"/>
      <w:r w:rsidR="00667A20">
        <w:t>Westdale</w:t>
      </w:r>
      <w:proofErr w:type="spellEnd"/>
      <w:r w:rsidR="007D5244">
        <w:t>,</w:t>
      </w:r>
      <w:r w:rsidR="00667A20">
        <w:t xml:space="preserve"> filed a list of issues. </w:t>
      </w:r>
    </w:p>
    <w:p w:rsidR="006F2036" w:rsidRPr="003C35B5" w:rsidRDefault="006F2036" w:rsidP="006F2036">
      <w:pPr>
        <w:pStyle w:val="Heading1"/>
        <w:keepLines w:val="0"/>
        <w:tabs>
          <w:tab w:val="clear" w:pos="360"/>
        </w:tabs>
        <w:spacing w:before="480"/>
      </w:pPr>
      <w:r w:rsidRPr="003C35B5">
        <w:t xml:space="preserve">Issues to be </w:t>
      </w:r>
      <w:proofErr w:type="gramStart"/>
      <w:r w:rsidRPr="003C35B5">
        <w:t>Addressed</w:t>
      </w:r>
      <w:proofErr w:type="gramEnd"/>
    </w:p>
    <w:p w:rsidR="006F2036" w:rsidRPr="003C35B5" w:rsidRDefault="006F2036" w:rsidP="006F2036">
      <w:pPr>
        <w:pStyle w:val="BodyText"/>
      </w:pPr>
      <w:r w:rsidRPr="003C35B5">
        <w:t>The Commission must provide to the administrative law judge (ALJ) a list of issues or areas to be addressed in any proceeding referred to the SOAH.</w:t>
      </w:r>
      <w:r w:rsidRPr="003C35B5">
        <w:rPr>
          <w:rStyle w:val="FootnoteReference"/>
        </w:rPr>
        <w:footnoteReference w:id="5"/>
      </w:r>
      <w:r w:rsidRPr="003C35B5">
        <w:t xml:space="preserve">  After reviewing the pleadings submitted by the parties, the Commission identifies the following issues that must be addressed in this docket:</w:t>
      </w:r>
    </w:p>
    <w:p w:rsidR="006F2036" w:rsidRPr="003C35B5" w:rsidRDefault="000039E6" w:rsidP="00460626">
      <w:pPr>
        <w:pStyle w:val="IssueList"/>
      </w:pPr>
      <w:r>
        <w:t xml:space="preserve">Did Longspur and </w:t>
      </w:r>
      <w:proofErr w:type="spellStart"/>
      <w:r>
        <w:t>Westdale</w:t>
      </w:r>
      <w:proofErr w:type="spellEnd"/>
      <w:r>
        <w:t xml:space="preserve"> (collectively, respondents) comply with 16 TAC § 24.123 with respect to Longspur’s rental agreement with Ms. Barron?</w:t>
      </w:r>
    </w:p>
    <w:p w:rsidR="006F2036" w:rsidRDefault="000039E6" w:rsidP="006F2036">
      <w:pPr>
        <w:pStyle w:val="IssueList"/>
      </w:pPr>
      <w:r>
        <w:t xml:space="preserve">Did </w:t>
      </w:r>
      <w:r w:rsidR="008B6624">
        <w:t xml:space="preserve">the </w:t>
      </w:r>
      <w:r>
        <w:t>respondents comply with 16 TAC § 24.124 regarding water</w:t>
      </w:r>
      <w:r w:rsidR="007D5244">
        <w:t>-</w:t>
      </w:r>
      <w:r>
        <w:t>service charges?</w:t>
      </w:r>
    </w:p>
    <w:p w:rsidR="000039E6" w:rsidRDefault="000039E6" w:rsidP="006F2036">
      <w:pPr>
        <w:pStyle w:val="IssueList"/>
      </w:pPr>
      <w:r>
        <w:t xml:space="preserve">Did </w:t>
      </w:r>
      <w:r w:rsidR="008B6624">
        <w:t xml:space="preserve">the </w:t>
      </w:r>
      <w:r>
        <w:t xml:space="preserve">respondents comply with 16 TAC § 24.125 with respect to </w:t>
      </w:r>
      <w:r w:rsidR="008B6624">
        <w:t xml:space="preserve">the </w:t>
      </w:r>
      <w:r>
        <w:t>respondents’ billing practices and billing</w:t>
      </w:r>
      <w:r w:rsidR="007D5244">
        <w:t>-</w:t>
      </w:r>
      <w:r>
        <w:t>dispute process?</w:t>
      </w:r>
    </w:p>
    <w:p w:rsidR="000039E6" w:rsidRDefault="000039E6" w:rsidP="006F2036">
      <w:pPr>
        <w:pStyle w:val="IssueList"/>
      </w:pPr>
      <w:r>
        <w:t xml:space="preserve">If </w:t>
      </w:r>
      <w:r w:rsidR="008B6624">
        <w:t xml:space="preserve">the </w:t>
      </w:r>
      <w:r>
        <w:t>respondents did not comply with Commission rules, what is the appropriate remedy?</w:t>
      </w:r>
    </w:p>
    <w:p w:rsidR="000039E6" w:rsidRDefault="000039E6" w:rsidP="006F2036">
      <w:pPr>
        <w:pStyle w:val="IssueList"/>
      </w:pPr>
      <w:r>
        <w:t>If Ms. Barron has been billed improperly, is she owed a refund?  If so, what is the amount of the refund?</w:t>
      </w:r>
    </w:p>
    <w:p w:rsidR="000039E6" w:rsidRDefault="000039E6" w:rsidP="006F2036">
      <w:pPr>
        <w:pStyle w:val="IssueList"/>
      </w:pPr>
      <w:r>
        <w:t>Are the respondents using a sub-metering system to bill its tenants for water service?  Have the respondents used a sub-metering system in the past?</w:t>
      </w:r>
    </w:p>
    <w:p w:rsidR="000039E6" w:rsidRDefault="000039E6" w:rsidP="006F2036">
      <w:pPr>
        <w:pStyle w:val="IssueList"/>
      </w:pPr>
      <w:r>
        <w:t>If the respondents are not using a sub-metering system during the period of Ms. Barron’s tenancy, how are they allocating water</w:t>
      </w:r>
      <w:r w:rsidR="007D5244">
        <w:t>-</w:t>
      </w:r>
      <w:r>
        <w:t xml:space="preserve">service charges among their tenants?  Have the </w:t>
      </w:r>
      <w:r>
        <w:lastRenderedPageBreak/>
        <w:t>respondents changed their allocation method for water</w:t>
      </w:r>
      <w:r w:rsidR="007D5244">
        <w:t>-</w:t>
      </w:r>
      <w:r>
        <w:t>service charges since the inception of Ms. Barron’s lease in June 2015?</w:t>
      </w:r>
    </w:p>
    <w:p w:rsidR="005037B6" w:rsidRDefault="005037B6" w:rsidP="006F2036">
      <w:pPr>
        <w:pStyle w:val="IssueList"/>
      </w:pPr>
      <w:r>
        <w:t>Have the res</w:t>
      </w:r>
      <w:r w:rsidR="0040761D">
        <w:t>pondents</w:t>
      </w:r>
      <w:r>
        <w:t xml:space="preserve"> made their allocation formula for water service available to Ms. Barron, and if so, when?</w:t>
      </w:r>
    </w:p>
    <w:p w:rsidR="000039E6" w:rsidRDefault="000039E6" w:rsidP="006F2036">
      <w:pPr>
        <w:pStyle w:val="IssueList"/>
      </w:pPr>
      <w:r>
        <w:t>What information appears on the water bills that the respondents sen</w:t>
      </w:r>
      <w:r w:rsidR="0040761D">
        <w:t>d</w:t>
      </w:r>
      <w:r>
        <w:t xml:space="preserve"> their tenants?  Have the respondents </w:t>
      </w:r>
      <w:r w:rsidR="000C09B0">
        <w:t>changed</w:t>
      </w:r>
      <w:r w:rsidR="007156E0">
        <w:t xml:space="preserve"> information that appears on </w:t>
      </w:r>
      <w:bookmarkStart w:id="0" w:name="_GoBack"/>
      <w:bookmarkEnd w:id="0"/>
      <w:r w:rsidR="007156E0">
        <w:t xml:space="preserve">water bills since June 2015?  If so, what information was </w:t>
      </w:r>
      <w:r w:rsidR="000C09B0">
        <w:t xml:space="preserve">changed </w:t>
      </w:r>
      <w:r w:rsidR="007156E0">
        <w:t>and when did this occur?</w:t>
      </w:r>
    </w:p>
    <w:p w:rsidR="007156E0" w:rsidRDefault="007156E0" w:rsidP="006F2036">
      <w:pPr>
        <w:pStyle w:val="IssueList"/>
      </w:pPr>
      <w:r>
        <w:t>What information appeared on Ms. Barron’s lease agreement</w:t>
      </w:r>
      <w:r w:rsidR="005037B6">
        <w:t>s</w:t>
      </w:r>
      <w:r>
        <w:t xml:space="preserve"> with </w:t>
      </w:r>
      <w:r w:rsidR="008B6624">
        <w:t xml:space="preserve">the </w:t>
      </w:r>
      <w:r>
        <w:t>respondents regarding respondents’ billing for water service?</w:t>
      </w:r>
    </w:p>
    <w:p w:rsidR="007156E0" w:rsidRDefault="007156E0" w:rsidP="006F2036">
      <w:pPr>
        <w:pStyle w:val="IssueList"/>
      </w:pPr>
      <w:r>
        <w:t>What water</w:t>
      </w:r>
      <w:r w:rsidR="007D5244">
        <w:t>-</w:t>
      </w:r>
      <w:r>
        <w:t xml:space="preserve">service billing records have </w:t>
      </w:r>
      <w:r w:rsidR="008B6624">
        <w:t xml:space="preserve">the </w:t>
      </w:r>
      <w:r>
        <w:t>respondents made available to Ms. Barron and when were they made available?</w:t>
      </w:r>
    </w:p>
    <w:p w:rsidR="005037B6" w:rsidRDefault="005037B6" w:rsidP="006F2036">
      <w:pPr>
        <w:pStyle w:val="IssueList"/>
      </w:pPr>
      <w:r>
        <w:t xml:space="preserve">Did the respondents charge Ms. Barron for a second adult </w:t>
      </w:r>
      <w:r w:rsidR="00750712">
        <w:t xml:space="preserve">occupant </w:t>
      </w:r>
      <w:r>
        <w:t>in allocating her water</w:t>
      </w:r>
      <w:r w:rsidR="007D5244">
        <w:t>-</w:t>
      </w:r>
      <w:r>
        <w:t xml:space="preserve"> service charges during Ms. Barron’s first lease?  If so, was this consistent with the allocation formula the respondents were using during this time to determine resident charges for water service?</w:t>
      </w:r>
    </w:p>
    <w:p w:rsidR="009B7451" w:rsidRDefault="009B7451" w:rsidP="006F2036">
      <w:pPr>
        <w:pStyle w:val="IssueList"/>
      </w:pPr>
      <w:r>
        <w:t xml:space="preserve">How did the respondents determine the number of occupants used to calculate Ms. Barron’s </w:t>
      </w:r>
      <w:proofErr w:type="gramStart"/>
      <w:r>
        <w:t>bill</w:t>
      </w:r>
      <w:proofErr w:type="gramEnd"/>
      <w:r>
        <w:t xml:space="preserve"> for water service?  How and when, if at all, did the respondents notify Ms. Barron of the number of occupants used to calculate her bill for water service?</w:t>
      </w:r>
    </w:p>
    <w:p w:rsidR="00750712" w:rsidRDefault="00750712" w:rsidP="006F2036">
      <w:pPr>
        <w:pStyle w:val="IssueList"/>
      </w:pPr>
      <w:r>
        <w:t xml:space="preserve">If the respondents notified Ms. Barron that her allocation of water service would be based, in part, on there being two occupants in her unit, did Ms. Barron object? </w:t>
      </w:r>
    </w:p>
    <w:p w:rsidR="007156E0" w:rsidRDefault="007156E0" w:rsidP="006F2036">
      <w:pPr>
        <w:pStyle w:val="IssueList"/>
      </w:pPr>
      <w:r>
        <w:t xml:space="preserve">Did </w:t>
      </w:r>
      <w:r w:rsidR="008B6624">
        <w:t xml:space="preserve">the </w:t>
      </w:r>
      <w:r>
        <w:t xml:space="preserve">respondents continue to charge Ms. Barron for a second adult </w:t>
      </w:r>
      <w:r w:rsidR="00750712">
        <w:t>occupant</w:t>
      </w:r>
      <w:r>
        <w:t xml:space="preserve"> in allocating her water</w:t>
      </w:r>
      <w:r w:rsidR="007D5244">
        <w:t>-</w:t>
      </w:r>
      <w:r>
        <w:t>service charges during Ms. Barron’s second lease?</w:t>
      </w:r>
    </w:p>
    <w:p w:rsidR="006F2036" w:rsidRPr="006C5848" w:rsidRDefault="006F2036" w:rsidP="008B6624">
      <w:pPr>
        <w:pStyle w:val="BodyText"/>
      </w:pPr>
      <w:r w:rsidRPr="003C35B5">
        <w:t xml:space="preserve">This list of issues is not intended to be exhaustive.  The parties and the ALJ are free to raise and address any issues relevant in this docket that they deem necessary, subject to any limitations imposed by the ALJ or by the Commission in future orders issued in this docket.  The Commission </w:t>
      </w:r>
      <w:r>
        <w:t>may</w:t>
      </w:r>
      <w:r w:rsidRPr="003C35B5">
        <w:t xml:space="preserve"> identify and provide to the ALJ in the future any additional issues or areas that must be addressed, as permitted under</w:t>
      </w:r>
      <w:r w:rsidRPr="003C35B5">
        <w:rPr>
          <w:smallCaps/>
        </w:rPr>
        <w:t xml:space="preserve"> </w:t>
      </w:r>
      <w:r w:rsidRPr="0067692D">
        <w:t>Tex. Gov’t Code Ann.</w:t>
      </w:r>
      <w:r w:rsidRPr="003C35B5">
        <w:t xml:space="preserve"> §</w:t>
      </w:r>
      <w:r>
        <w:t> </w:t>
      </w:r>
      <w:r w:rsidRPr="003C35B5">
        <w:t>2003.049(e).</w:t>
      </w:r>
    </w:p>
    <w:p w:rsidR="006F2036" w:rsidRPr="003C35B5" w:rsidRDefault="006F2036" w:rsidP="006F2036">
      <w:pPr>
        <w:pStyle w:val="Heading1"/>
        <w:keepLines w:val="0"/>
        <w:tabs>
          <w:tab w:val="clear" w:pos="360"/>
        </w:tabs>
        <w:spacing w:before="480"/>
      </w:pPr>
      <w:r w:rsidRPr="003C35B5">
        <w:lastRenderedPageBreak/>
        <w:t xml:space="preserve"> Effect of Preliminary Order</w:t>
      </w:r>
    </w:p>
    <w:p w:rsidR="006F2036" w:rsidRDefault="006F2036" w:rsidP="006F2036">
      <w:pPr>
        <w:pStyle w:val="BodyText"/>
      </w:pPr>
      <w:r w:rsidRPr="003C35B5">
        <w:t xml:space="preserve">This </w:t>
      </w:r>
      <w:r>
        <w:t>o</w:t>
      </w:r>
      <w:r w:rsidRPr="003C35B5">
        <w:t xml:space="preserve">rder is preliminary in nature and is entered without prejudice to any party expressing views contrary to this </w:t>
      </w:r>
      <w:r>
        <w:t>o</w:t>
      </w:r>
      <w:r w:rsidRPr="003C35B5">
        <w:t xml:space="preserve">rder before the SOAH ALJ at hearing.  The SOAH ALJ, upon his or her own motion or upon the motion of any party, may deviate from this </w:t>
      </w:r>
      <w:r>
        <w:t>o</w:t>
      </w:r>
      <w:r w:rsidRPr="003C35B5">
        <w:t xml:space="preserve">rder when circumstances dictate that it is reasonable to do so.  Any ruling by the SOAH ALJ that deviates from this </w:t>
      </w:r>
      <w:r>
        <w:t>o</w:t>
      </w:r>
      <w:r w:rsidRPr="003C35B5">
        <w:t xml:space="preserve">rder may be appealed to the Commission.  The Commission will not address whether this </w:t>
      </w:r>
      <w:r>
        <w:t>o</w:t>
      </w:r>
      <w:r w:rsidRPr="003C35B5">
        <w:t xml:space="preserve">rder should be modified except upon its own motion or the appeal of a SOAH ALJ’s order.  Furthermore, this </w:t>
      </w:r>
      <w:r>
        <w:t>o</w:t>
      </w:r>
      <w:r w:rsidRPr="003C35B5">
        <w:t>rder is not subject to motions for rehearing or reconsideration.</w:t>
      </w:r>
    </w:p>
    <w:p w:rsidR="006F2036" w:rsidRPr="003C35B5" w:rsidRDefault="006F2036" w:rsidP="006F2036"/>
    <w:p w:rsidR="006F2036" w:rsidRPr="003C35B5" w:rsidRDefault="006F2036" w:rsidP="006F2036"/>
    <w:p w:rsidR="00160DCD" w:rsidRDefault="00160DCD" w:rsidP="00160DCD"/>
    <w:p w:rsidR="00160DCD" w:rsidRDefault="00160DCD" w:rsidP="00160DCD">
      <w:pPr>
        <w:pStyle w:val="Dateline"/>
      </w:pPr>
      <w:r>
        <w:t xml:space="preserve">Signed at Austin, Texas the ______ day of </w:t>
      </w:r>
      <w:r w:rsidR="008B6624">
        <w:t>January</w:t>
      </w:r>
      <w:r>
        <w:t xml:space="preserve"> 201</w:t>
      </w:r>
      <w:r w:rsidR="008B6624">
        <w:t>8</w:t>
      </w:r>
      <w:r w:rsidR="008D1724">
        <w:t>.</w:t>
      </w:r>
    </w:p>
    <w:p w:rsidR="00160DCD" w:rsidRDefault="00160DCD" w:rsidP="008D1724">
      <w:pPr>
        <w:pStyle w:val="Dateline"/>
      </w:pP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D</w:t>
      </w:r>
      <w:r w:rsidR="001E1079">
        <w:t>EANN</w:t>
      </w:r>
      <w:r>
        <w:t xml:space="preserve"> </w:t>
      </w:r>
      <w:r w:rsidR="001E1079">
        <w:t>T</w:t>
      </w:r>
      <w:r>
        <w:t xml:space="preserve">. </w:t>
      </w:r>
      <w:r w:rsidR="001E1079">
        <w:t>WALKER</w:t>
      </w:r>
      <w:r>
        <w:t>, CHAIRMAN</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F308C4" w:rsidP="00160DCD">
      <w:pPr>
        <w:pStyle w:val="Signatures"/>
      </w:pPr>
      <w:r>
        <w:t>BRANDY MARTY MARQUEZ</w:t>
      </w:r>
      <w:r w:rsidR="00160DCD">
        <w:t>,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F308C4" w:rsidP="00160DCD">
      <w:pPr>
        <w:pStyle w:val="Signatures"/>
      </w:pPr>
      <w:r>
        <w:t>ARTHUR C. D’ANDREA</w:t>
      </w:r>
      <w:r w:rsidR="00160DCD">
        <w:t>, COMMISSIONER</w:t>
      </w:r>
    </w:p>
    <w:p w:rsidR="00160DCD" w:rsidRDefault="00160DCD" w:rsidP="00160DCD"/>
    <w:p w:rsidR="00160DCD" w:rsidRDefault="00160DCD" w:rsidP="00160DCD"/>
    <w:p w:rsidR="00160DCD" w:rsidRDefault="00160DCD" w:rsidP="00160DCD"/>
    <w:p w:rsidR="00FE4318" w:rsidRDefault="00FE4318" w:rsidP="0062202F">
      <w:pPr>
        <w:pStyle w:val="EndMatter"/>
      </w:pPr>
      <w:r>
        <w:t>W2013</w:t>
      </w:r>
    </w:p>
    <w:p w:rsidR="00160DCD" w:rsidRDefault="00516300" w:rsidP="0062202F">
      <w:pPr>
        <w:pStyle w:val="EndMatter"/>
      </w:pPr>
      <w:r>
        <w:fldChar w:fldCharType="begin"/>
      </w:r>
      <w:r>
        <w:instrText xml:space="preserve"> FILENAME  \* Lower \p  \* MERGEFORMAT </w:instrText>
      </w:r>
      <w:r>
        <w:fldChar w:fldCharType="separate"/>
      </w:r>
      <w:r w:rsidR="008B6624">
        <w:rPr>
          <w:noProof/>
        </w:rPr>
        <w:t xml:space="preserve">q:\cadm\orders\prelim\47000\47712 </w:t>
      </w:r>
      <w:r w:rsidR="000C09B0">
        <w:rPr>
          <w:noProof/>
        </w:rPr>
        <w:t>r</w:t>
      </w:r>
      <w:r w:rsidR="008B6624">
        <w:rPr>
          <w:noProof/>
        </w:rPr>
        <w:t>dpo.docx</w:t>
      </w:r>
      <w:r>
        <w:rPr>
          <w:noProof/>
        </w:rPr>
        <w:fldChar w:fldCharType="end"/>
      </w:r>
    </w:p>
    <w:sectPr w:rsidR="00160DCD"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70FC" w:rsidRDefault="003170FC" w:rsidP="00D03394">
      <w:r>
        <w:separator/>
      </w:r>
    </w:p>
  </w:endnote>
  <w:endnote w:type="continuationSeparator" w:id="0">
    <w:p w:rsidR="003170FC" w:rsidRDefault="003170FC"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70FC" w:rsidRDefault="003170FC" w:rsidP="00D03394">
      <w:r>
        <w:separator/>
      </w:r>
    </w:p>
  </w:footnote>
  <w:footnote w:type="continuationSeparator" w:id="0">
    <w:p w:rsidR="003170FC" w:rsidRDefault="003170FC" w:rsidP="00D03394">
      <w:r>
        <w:continuationSeparator/>
      </w:r>
    </w:p>
  </w:footnote>
  <w:footnote w:id="1">
    <w:p w:rsidR="00033669" w:rsidRDefault="00033669">
      <w:pPr>
        <w:pStyle w:val="FootnoteText"/>
      </w:pPr>
      <w:r>
        <w:rPr>
          <w:rStyle w:val="FootnoteReference"/>
        </w:rPr>
        <w:footnoteRef/>
      </w:r>
      <w:r>
        <w:t xml:space="preserve">  Response of Longspur Crossing Apartments and </w:t>
      </w:r>
      <w:proofErr w:type="spellStart"/>
      <w:r>
        <w:t>Westdale</w:t>
      </w:r>
      <w:proofErr w:type="spellEnd"/>
      <w:r>
        <w:t xml:space="preserve"> Management at 1</w:t>
      </w:r>
      <w:r w:rsidR="009B7451">
        <w:t xml:space="preserve"> (Nov. 8, 2017)</w:t>
      </w:r>
      <w:r w:rsidR="007D5244">
        <w:t>.</w:t>
      </w:r>
    </w:p>
    <w:p w:rsidR="00033669" w:rsidRDefault="00033669">
      <w:pPr>
        <w:pStyle w:val="FootnoteText"/>
      </w:pPr>
      <w:r>
        <w:t xml:space="preserve"> </w:t>
      </w:r>
    </w:p>
  </w:footnote>
  <w:footnote w:id="2">
    <w:p w:rsidR="00033669" w:rsidRDefault="00033669">
      <w:pPr>
        <w:pStyle w:val="FootnoteText"/>
      </w:pPr>
      <w:r>
        <w:rPr>
          <w:rStyle w:val="FootnoteReference"/>
        </w:rPr>
        <w:footnoteRef/>
      </w:r>
      <w:r>
        <w:t xml:space="preserve">  </w:t>
      </w:r>
      <w:r w:rsidRPr="00033669">
        <w:rPr>
          <w:i/>
        </w:rPr>
        <w:t>Id.</w:t>
      </w:r>
      <w:r>
        <w:t xml:space="preserve"> </w:t>
      </w:r>
    </w:p>
    <w:p w:rsidR="00033669" w:rsidRDefault="00033669">
      <w:pPr>
        <w:pStyle w:val="FootnoteText"/>
      </w:pPr>
    </w:p>
  </w:footnote>
  <w:footnote w:id="3">
    <w:p w:rsidR="00033669" w:rsidRDefault="00033669">
      <w:pPr>
        <w:pStyle w:val="FootnoteText"/>
      </w:pPr>
      <w:r>
        <w:rPr>
          <w:rStyle w:val="FootnoteReference"/>
        </w:rPr>
        <w:footnoteRef/>
      </w:r>
      <w:r>
        <w:t xml:space="preserve">  Commission Staff </w:t>
      </w:r>
      <w:r w:rsidR="009B7451">
        <w:t>S</w:t>
      </w:r>
      <w:r>
        <w:t xml:space="preserve">tatement of </w:t>
      </w:r>
      <w:r w:rsidR="009B7451">
        <w:t>P</w:t>
      </w:r>
      <w:r>
        <w:t xml:space="preserve">osition at 5 </w:t>
      </w:r>
      <w:r w:rsidR="009B7451">
        <w:t>(Nov. 15, 2017)</w:t>
      </w:r>
      <w:r w:rsidR="007D5244">
        <w:t>.</w:t>
      </w:r>
    </w:p>
  </w:footnote>
  <w:footnote w:id="4">
    <w:p w:rsidR="00125757" w:rsidRDefault="00125757">
      <w:pPr>
        <w:pStyle w:val="FootnoteText"/>
      </w:pPr>
      <w:r>
        <w:rPr>
          <w:rStyle w:val="FootnoteReference"/>
        </w:rPr>
        <w:footnoteRef/>
      </w:r>
      <w:r>
        <w:t xml:space="preserve">  Response of Longspur Crossing Apartments and </w:t>
      </w:r>
      <w:proofErr w:type="spellStart"/>
      <w:r>
        <w:t>Westdale</w:t>
      </w:r>
      <w:proofErr w:type="spellEnd"/>
      <w:r>
        <w:t xml:space="preserve"> Management at 3. </w:t>
      </w:r>
    </w:p>
    <w:p w:rsidR="0040761D" w:rsidRDefault="0040761D">
      <w:pPr>
        <w:pStyle w:val="FootnoteText"/>
      </w:pPr>
    </w:p>
  </w:footnote>
  <w:footnote w:id="5">
    <w:p w:rsidR="006F2036" w:rsidRPr="002133F3" w:rsidRDefault="006F2036" w:rsidP="006F2036">
      <w:pPr>
        <w:pStyle w:val="FootnoteText"/>
        <w:rPr>
          <w:lang w:val="pt-BR"/>
        </w:rPr>
      </w:pPr>
      <w:r>
        <w:rPr>
          <w:rStyle w:val="FootnoteReference"/>
        </w:rPr>
        <w:footnoteRef/>
      </w:r>
      <w:r w:rsidRPr="002133F3">
        <w:rPr>
          <w:lang w:val="pt-BR"/>
        </w:rPr>
        <w:t xml:space="preserve">  </w:t>
      </w:r>
      <w:r w:rsidRPr="001F10CC">
        <w:rPr>
          <w:lang w:val="pt-BR"/>
        </w:rPr>
        <w:t>Tex. Gov’t Code Ann</w:t>
      </w:r>
      <w:r w:rsidRPr="002133F3">
        <w:rPr>
          <w:smallCaps/>
          <w:lang w:val="pt-BR"/>
        </w:rPr>
        <w:t>.</w:t>
      </w:r>
      <w:r>
        <w:rPr>
          <w:lang w:val="pt-BR"/>
        </w:rPr>
        <w:t xml:space="preserve"> § 2003.049(e) (</w:t>
      </w:r>
      <w:r w:rsidR="007D5244">
        <w:rPr>
          <w:lang w:val="pt-BR"/>
        </w:rPr>
        <w:t>West 2016</w:t>
      </w:r>
      <w:r w:rsidRPr="002133F3">
        <w:rPr>
          <w:lang w:val="pt-BR"/>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pPr>
      <w:pStyle w:val="Header"/>
    </w:pPr>
    <w:r>
      <w:t>PUC Docket No. </w:t>
    </w:r>
    <w:r w:rsidR="00125757">
      <w:t>47712</w:t>
    </w:r>
    <w:r>
      <w:tab/>
    </w:r>
    <w:r w:rsidR="000C09B0">
      <w:t xml:space="preserve">Revised </w:t>
    </w:r>
    <w:r w:rsidR="00B12AC5">
      <w:t xml:space="preserve">Draft Preliminary </w:t>
    </w:r>
    <w:r>
      <w:t>Order</w:t>
    </w:r>
    <w:r>
      <w:tab/>
      <w:t xml:space="preserve">Page </w:t>
    </w:r>
    <w:r>
      <w:fldChar w:fldCharType="begin"/>
    </w:r>
    <w:r>
      <w:instrText xml:space="preserve"> PAGE   \* MERGEFORMAT </w:instrText>
    </w:r>
    <w:r>
      <w:fldChar w:fldCharType="separate"/>
    </w:r>
    <w:r w:rsidR="00516300">
      <w:rPr>
        <w:noProof/>
      </w:rPr>
      <w:t>4</w:t>
    </w:r>
    <w:r>
      <w:fldChar w:fldCharType="end"/>
    </w:r>
    <w:r>
      <w:t xml:space="preserve"> of </w:t>
    </w:r>
    <w:r w:rsidR="00516300">
      <w:fldChar w:fldCharType="begin"/>
    </w:r>
    <w:r w:rsidR="00516300">
      <w:instrText xml:space="preserve"> NUMPAGES   \* MERGEFORMAT </w:instrText>
    </w:r>
    <w:r w:rsidR="00516300">
      <w:fldChar w:fldCharType="separate"/>
    </w:r>
    <w:r w:rsidR="00516300">
      <w:rPr>
        <w:noProof/>
      </w:rPr>
      <w:t>4</w:t>
    </w:r>
    <w:r w:rsidR="00516300">
      <w:rPr>
        <w:noProof/>
      </w:rPr>
      <w:fldChar w:fldCharType="end"/>
    </w:r>
  </w:p>
  <w:p w:rsidR="00ED04FC" w:rsidRDefault="00ED04FC">
    <w:pPr>
      <w:pStyle w:val="Header"/>
    </w:pPr>
    <w:r>
      <w:t>SOAH Docket No. 473-1</w:t>
    </w:r>
    <w:r w:rsidR="00125757">
      <w:t>8</w:t>
    </w:r>
    <w:r>
      <w:t>-</w:t>
    </w:r>
    <w:r w:rsidR="00125757">
      <w:t>1227.WS</w:t>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C7726"/>
    <w:multiLevelType w:val="singleLevel"/>
    <w:tmpl w:val="F154CCDC"/>
    <w:lvl w:ilvl="0">
      <w:start w:val="1"/>
      <w:numFmt w:val="decimal"/>
      <w:lvlText w:val="%1."/>
      <w:lvlJc w:val="left"/>
      <w:pPr>
        <w:tabs>
          <w:tab w:val="num" w:pos="720"/>
        </w:tabs>
        <w:ind w:left="720" w:hanging="720"/>
      </w:pPr>
    </w:lvl>
  </w:abstractNum>
  <w:abstractNum w:abstractNumId="1" w15:restartNumberingAfterBreak="0">
    <w:nsid w:val="0BB67C25"/>
    <w:multiLevelType w:val="multilevel"/>
    <w:tmpl w:val="D6224ED0"/>
    <w:lvl w:ilvl="0">
      <w:start w:val="1"/>
      <w:numFmt w:val="decimal"/>
      <w:pStyle w:val="IssueList"/>
      <w:lvlText w:val="%1."/>
      <w:lvlJc w:val="left"/>
      <w:pPr>
        <w:ind w:left="360" w:hanging="360"/>
      </w:pPr>
      <w:rPr>
        <w:rFonts w:hint="default"/>
      </w:rPr>
    </w:lvl>
    <w:lvl w:ilvl="1">
      <w:start w:val="1"/>
      <w:numFmt w:val="lowerLetter"/>
      <w:pStyle w:val="Issuesublist"/>
      <w:lvlText w:val="%2."/>
      <w:lvlJc w:val="left"/>
      <w:pPr>
        <w:ind w:left="720" w:hanging="360"/>
      </w:pPr>
      <w:rPr>
        <w:rFonts w:hint="default"/>
      </w:rPr>
    </w:lvl>
    <w:lvl w:ilvl="2">
      <w:start w:val="1"/>
      <w:numFmt w:val="lowerRoman"/>
      <w:pStyle w:val="Issuesub2list"/>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91315B5"/>
    <w:multiLevelType w:val="hybridMultilevel"/>
    <w:tmpl w:val="1EC4C7B8"/>
    <w:lvl w:ilvl="0" w:tplc="8DE88AB6">
      <w:start w:val="1"/>
      <w:numFmt w:val="upperRoman"/>
      <w:lvlText w:val="%1."/>
      <w:lvlJc w:val="right"/>
      <w:pPr>
        <w:ind w:left="720" w:hanging="360"/>
      </w:pPr>
    </w:lvl>
    <w:lvl w:ilvl="1" w:tplc="F8208640" w:tentative="1">
      <w:start w:val="1"/>
      <w:numFmt w:val="lowerLetter"/>
      <w:lvlText w:val="%2."/>
      <w:lvlJc w:val="left"/>
      <w:pPr>
        <w:ind w:left="1440" w:hanging="360"/>
      </w:pPr>
    </w:lvl>
    <w:lvl w:ilvl="2" w:tplc="CB507970" w:tentative="1">
      <w:start w:val="1"/>
      <w:numFmt w:val="lowerRoman"/>
      <w:lvlText w:val="%3."/>
      <w:lvlJc w:val="right"/>
      <w:pPr>
        <w:ind w:left="2160" w:hanging="180"/>
      </w:pPr>
    </w:lvl>
    <w:lvl w:ilvl="3" w:tplc="54466DE0" w:tentative="1">
      <w:start w:val="1"/>
      <w:numFmt w:val="decimal"/>
      <w:lvlText w:val="%4."/>
      <w:lvlJc w:val="left"/>
      <w:pPr>
        <w:ind w:left="2880" w:hanging="360"/>
      </w:pPr>
    </w:lvl>
    <w:lvl w:ilvl="4" w:tplc="C7E63CC4" w:tentative="1">
      <w:start w:val="1"/>
      <w:numFmt w:val="lowerLetter"/>
      <w:lvlText w:val="%5."/>
      <w:lvlJc w:val="left"/>
      <w:pPr>
        <w:ind w:left="3600" w:hanging="360"/>
      </w:pPr>
    </w:lvl>
    <w:lvl w:ilvl="5" w:tplc="B60C6200" w:tentative="1">
      <w:start w:val="1"/>
      <w:numFmt w:val="lowerRoman"/>
      <w:lvlText w:val="%6."/>
      <w:lvlJc w:val="right"/>
      <w:pPr>
        <w:ind w:left="4320" w:hanging="180"/>
      </w:pPr>
    </w:lvl>
    <w:lvl w:ilvl="6" w:tplc="0AF6052E" w:tentative="1">
      <w:start w:val="1"/>
      <w:numFmt w:val="decimal"/>
      <w:lvlText w:val="%7."/>
      <w:lvlJc w:val="left"/>
      <w:pPr>
        <w:ind w:left="5040" w:hanging="360"/>
      </w:pPr>
    </w:lvl>
    <w:lvl w:ilvl="7" w:tplc="0C1CE556" w:tentative="1">
      <w:start w:val="1"/>
      <w:numFmt w:val="lowerLetter"/>
      <w:lvlText w:val="%8."/>
      <w:lvlJc w:val="left"/>
      <w:pPr>
        <w:ind w:left="5760" w:hanging="360"/>
      </w:pPr>
    </w:lvl>
    <w:lvl w:ilvl="8" w:tplc="C56C4E50" w:tentative="1">
      <w:start w:val="1"/>
      <w:numFmt w:val="lowerRoman"/>
      <w:lvlText w:val="%9."/>
      <w:lvlJc w:val="right"/>
      <w:pPr>
        <w:ind w:left="6480" w:hanging="180"/>
      </w:pPr>
    </w:lvl>
  </w:abstractNum>
  <w:abstractNum w:abstractNumId="3"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4" w15:restartNumberingAfterBreak="0">
    <w:nsid w:val="38E96F2E"/>
    <w:multiLevelType w:val="multilevel"/>
    <w:tmpl w:val="394C657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FF6204A"/>
    <w:multiLevelType w:val="hybridMultilevel"/>
    <w:tmpl w:val="5F64109C"/>
    <w:lvl w:ilvl="0" w:tplc="E0E2BEFA">
      <w:start w:val="1"/>
      <w:numFmt w:val="decimal"/>
      <w:pStyle w:val="ThresholdIssue"/>
      <w:lvlText w:val="%1."/>
      <w:lvlJc w:val="left"/>
      <w:pPr>
        <w:tabs>
          <w:tab w:val="num" w:pos="720"/>
        </w:tabs>
        <w:ind w:left="720" w:hanging="720"/>
      </w:pPr>
      <w:rPr>
        <w:rFonts w:hint="default"/>
        <w:b/>
      </w:rPr>
    </w:lvl>
    <w:lvl w:ilvl="1" w:tplc="1BAC058C" w:tentative="1">
      <w:start w:val="1"/>
      <w:numFmt w:val="lowerLetter"/>
      <w:lvlText w:val="%2."/>
      <w:lvlJc w:val="left"/>
      <w:pPr>
        <w:tabs>
          <w:tab w:val="num" w:pos="720"/>
        </w:tabs>
        <w:ind w:left="720" w:hanging="360"/>
      </w:pPr>
    </w:lvl>
    <w:lvl w:ilvl="2" w:tplc="34E2196C" w:tentative="1">
      <w:start w:val="1"/>
      <w:numFmt w:val="lowerRoman"/>
      <w:lvlText w:val="%3."/>
      <w:lvlJc w:val="right"/>
      <w:pPr>
        <w:tabs>
          <w:tab w:val="num" w:pos="1440"/>
        </w:tabs>
        <w:ind w:left="1440" w:hanging="180"/>
      </w:pPr>
    </w:lvl>
    <w:lvl w:ilvl="3" w:tplc="CD086AF8" w:tentative="1">
      <w:start w:val="1"/>
      <w:numFmt w:val="decimal"/>
      <w:lvlText w:val="%4."/>
      <w:lvlJc w:val="left"/>
      <w:pPr>
        <w:tabs>
          <w:tab w:val="num" w:pos="2160"/>
        </w:tabs>
        <w:ind w:left="2160" w:hanging="360"/>
      </w:pPr>
    </w:lvl>
    <w:lvl w:ilvl="4" w:tplc="0848EE8E" w:tentative="1">
      <w:start w:val="1"/>
      <w:numFmt w:val="lowerLetter"/>
      <w:lvlText w:val="%5."/>
      <w:lvlJc w:val="left"/>
      <w:pPr>
        <w:tabs>
          <w:tab w:val="num" w:pos="2880"/>
        </w:tabs>
        <w:ind w:left="2880" w:hanging="360"/>
      </w:pPr>
    </w:lvl>
    <w:lvl w:ilvl="5" w:tplc="6FE2C0B4" w:tentative="1">
      <w:start w:val="1"/>
      <w:numFmt w:val="lowerRoman"/>
      <w:lvlText w:val="%6."/>
      <w:lvlJc w:val="right"/>
      <w:pPr>
        <w:tabs>
          <w:tab w:val="num" w:pos="3600"/>
        </w:tabs>
        <w:ind w:left="3600" w:hanging="180"/>
      </w:pPr>
    </w:lvl>
    <w:lvl w:ilvl="6" w:tplc="6882BD76" w:tentative="1">
      <w:start w:val="1"/>
      <w:numFmt w:val="decimal"/>
      <w:lvlText w:val="%7."/>
      <w:lvlJc w:val="left"/>
      <w:pPr>
        <w:tabs>
          <w:tab w:val="num" w:pos="4320"/>
        </w:tabs>
        <w:ind w:left="4320" w:hanging="360"/>
      </w:pPr>
    </w:lvl>
    <w:lvl w:ilvl="7" w:tplc="DD92B9AA" w:tentative="1">
      <w:start w:val="1"/>
      <w:numFmt w:val="lowerLetter"/>
      <w:lvlText w:val="%8."/>
      <w:lvlJc w:val="left"/>
      <w:pPr>
        <w:tabs>
          <w:tab w:val="num" w:pos="5040"/>
        </w:tabs>
        <w:ind w:left="5040" w:hanging="360"/>
      </w:pPr>
    </w:lvl>
    <w:lvl w:ilvl="8" w:tplc="22D231BC" w:tentative="1">
      <w:start w:val="1"/>
      <w:numFmt w:val="lowerRoman"/>
      <w:lvlText w:val="%9."/>
      <w:lvlJc w:val="right"/>
      <w:pPr>
        <w:tabs>
          <w:tab w:val="num" w:pos="5760"/>
        </w:tabs>
        <w:ind w:left="5760" w:hanging="180"/>
      </w:pPr>
    </w:lvl>
  </w:abstractNum>
  <w:abstractNum w:abstractNumId="6" w15:restartNumberingAfterBreak="0">
    <w:nsid w:val="666B6E08"/>
    <w:multiLevelType w:val="hybridMultilevel"/>
    <w:tmpl w:val="0C4E73D2"/>
    <w:lvl w:ilvl="0" w:tplc="86D056AE">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8"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2"/>
  </w:num>
  <w:num w:numId="2">
    <w:abstractNumId w:val="3"/>
  </w:num>
  <w:num w:numId="3">
    <w:abstractNumId w:val="1"/>
  </w:num>
  <w:num w:numId="4">
    <w:abstractNumId w:val="8"/>
  </w:num>
  <w:num w:numId="5">
    <w:abstractNumId w:val="3"/>
  </w:num>
  <w:num w:numId="6">
    <w:abstractNumId w:val="6"/>
  </w:num>
  <w:num w:numId="7">
    <w:abstractNumId w:val="7"/>
  </w:num>
  <w:num w:numId="8">
    <w:abstractNumId w:val="0"/>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attachedTemplate r:id="rId1"/>
  <w:defaultTabStop w:val="720"/>
  <w:characterSpacingControl w:val="doNotCompress"/>
  <w:hdrShapeDefaults>
    <o:shapedefaults v:ext="edit" spidmax="256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70FC"/>
    <w:rsid w:val="000039E6"/>
    <w:rsid w:val="00033669"/>
    <w:rsid w:val="00034E63"/>
    <w:rsid w:val="000C09B0"/>
    <w:rsid w:val="000E5DBE"/>
    <w:rsid w:val="001169CA"/>
    <w:rsid w:val="00125757"/>
    <w:rsid w:val="00160DCD"/>
    <w:rsid w:val="001C6CB7"/>
    <w:rsid w:val="001E1079"/>
    <w:rsid w:val="001E360C"/>
    <w:rsid w:val="001F10CC"/>
    <w:rsid w:val="00266F9F"/>
    <w:rsid w:val="00312838"/>
    <w:rsid w:val="003170FC"/>
    <w:rsid w:val="0040761D"/>
    <w:rsid w:val="00433B5E"/>
    <w:rsid w:val="00460626"/>
    <w:rsid w:val="0046644C"/>
    <w:rsid w:val="004E082A"/>
    <w:rsid w:val="005037B6"/>
    <w:rsid w:val="00516300"/>
    <w:rsid w:val="00516EDA"/>
    <w:rsid w:val="00583AC2"/>
    <w:rsid w:val="005C3512"/>
    <w:rsid w:val="00604A1C"/>
    <w:rsid w:val="0062202F"/>
    <w:rsid w:val="006639CB"/>
    <w:rsid w:val="00667A20"/>
    <w:rsid w:val="0067692D"/>
    <w:rsid w:val="00677B5E"/>
    <w:rsid w:val="006F2036"/>
    <w:rsid w:val="007156E0"/>
    <w:rsid w:val="00737D5E"/>
    <w:rsid w:val="00750712"/>
    <w:rsid w:val="007572FC"/>
    <w:rsid w:val="007D5244"/>
    <w:rsid w:val="007D618F"/>
    <w:rsid w:val="0080046C"/>
    <w:rsid w:val="008738BF"/>
    <w:rsid w:val="008B6624"/>
    <w:rsid w:val="008B7933"/>
    <w:rsid w:val="008D1724"/>
    <w:rsid w:val="009727E0"/>
    <w:rsid w:val="009B7451"/>
    <w:rsid w:val="009C1919"/>
    <w:rsid w:val="00A035EA"/>
    <w:rsid w:val="00A40798"/>
    <w:rsid w:val="00B12AC5"/>
    <w:rsid w:val="00B22348"/>
    <w:rsid w:val="00B71CA8"/>
    <w:rsid w:val="00C00148"/>
    <w:rsid w:val="00C54659"/>
    <w:rsid w:val="00D03394"/>
    <w:rsid w:val="00D1503F"/>
    <w:rsid w:val="00D451DC"/>
    <w:rsid w:val="00D706B4"/>
    <w:rsid w:val="00DF1D74"/>
    <w:rsid w:val="00E930F3"/>
    <w:rsid w:val="00EB3FB6"/>
    <w:rsid w:val="00ED04FC"/>
    <w:rsid w:val="00EE5DDA"/>
    <w:rsid w:val="00F24715"/>
    <w:rsid w:val="00F308C4"/>
    <w:rsid w:val="00FA1E83"/>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5601"/>
    <o:shapelayout v:ext="edit">
      <o:idmap v:ext="edit" data="1"/>
    </o:shapelayout>
  </w:shapeDefaults>
  <w:decimalSymbol w:val="."/>
  <w:listSeparator w:val=","/>
  <w15:chartTrackingRefBased/>
  <w15:docId w15:val="{287BA7AD-7D57-46FF-B174-09C663D1A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ind w:left="0" w:firstLine="0"/>
    </w:pPr>
  </w:style>
  <w:style w:type="paragraph" w:customStyle="1" w:styleId="COLNumbered">
    <w:name w:val="COL Numbered"/>
    <w:basedOn w:val="FOFNumbered"/>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Subtitle">
    <w:name w:val="Subtitle"/>
    <w:basedOn w:val="Normal"/>
    <w:link w:val="SubtitleChar"/>
    <w:qFormat/>
    <w:rsid w:val="006F2036"/>
    <w:pPr>
      <w:spacing w:line="360" w:lineRule="auto"/>
      <w:jc w:val="center"/>
    </w:pPr>
    <w:rPr>
      <w:rFonts w:eastAsia="Times New Roman"/>
      <w:b/>
      <w:szCs w:val="20"/>
    </w:rPr>
  </w:style>
  <w:style w:type="character" w:customStyle="1" w:styleId="SubtitleChar">
    <w:name w:val="Subtitle Char"/>
    <w:basedOn w:val="DefaultParagraphFont"/>
    <w:link w:val="Subtitle"/>
    <w:rsid w:val="006F2036"/>
    <w:rPr>
      <w:rFonts w:eastAsia="Times New Roman"/>
      <w:b/>
      <w:szCs w:val="20"/>
    </w:rPr>
  </w:style>
  <w:style w:type="paragraph" w:customStyle="1" w:styleId="ThresholdIssue">
    <w:name w:val="Threshold Issue"/>
    <w:basedOn w:val="Heading3"/>
    <w:next w:val="BodyText"/>
    <w:qFormat/>
    <w:rsid w:val="006F2036"/>
    <w:pPr>
      <w:keepLines w:val="0"/>
      <w:numPr>
        <w:ilvl w:val="0"/>
        <w:numId w:val="9"/>
      </w:numPr>
      <w:spacing w:before="0" w:after="120"/>
    </w:pPr>
    <w:rPr>
      <w:rFonts w:eastAsia="Times New Roman" w:cs="Times New Roman"/>
      <w:snapToGrid w:val="0"/>
    </w:rPr>
  </w:style>
  <w:style w:type="paragraph" w:customStyle="1" w:styleId="IssueList">
    <w:name w:val="Issue List"/>
    <w:basedOn w:val="FOFNumbered"/>
    <w:qFormat/>
    <w:rsid w:val="006F2036"/>
    <w:pPr>
      <w:numPr>
        <w:numId w:val="3"/>
      </w:numPr>
    </w:pPr>
  </w:style>
  <w:style w:type="paragraph" w:customStyle="1" w:styleId="IssueNotList">
    <w:name w:val="Issue Not List"/>
    <w:basedOn w:val="COLNumbered"/>
    <w:next w:val="BodyText"/>
    <w:qFormat/>
    <w:rsid w:val="006F2036"/>
    <w:pPr>
      <w:tabs>
        <w:tab w:val="num" w:pos="720"/>
      </w:tabs>
    </w:pPr>
    <w:rPr>
      <w:b/>
      <w:i/>
    </w:rPr>
  </w:style>
  <w:style w:type="paragraph" w:customStyle="1" w:styleId="Issuesublist">
    <w:name w:val="Issue sub list"/>
    <w:basedOn w:val="Normal"/>
    <w:qFormat/>
    <w:rsid w:val="00460626"/>
    <w:pPr>
      <w:numPr>
        <w:ilvl w:val="1"/>
        <w:numId w:val="3"/>
      </w:numPr>
      <w:spacing w:after="120" w:line="360" w:lineRule="auto"/>
      <w:jc w:val="both"/>
    </w:pPr>
    <w:rPr>
      <w:rFonts w:eastAsia="Times New Roman"/>
      <w:szCs w:val="20"/>
    </w:rPr>
  </w:style>
  <w:style w:type="paragraph" w:customStyle="1" w:styleId="Issuesub2list">
    <w:name w:val="Issue sub2 list"/>
    <w:basedOn w:val="Normal"/>
    <w:qFormat/>
    <w:rsid w:val="00460626"/>
    <w:pPr>
      <w:numPr>
        <w:ilvl w:val="2"/>
        <w:numId w:val="3"/>
      </w:numPr>
      <w:spacing w:after="120" w:line="360" w:lineRule="auto"/>
      <w:jc w:val="both"/>
    </w:pPr>
    <w:rPr>
      <w:rFonts w:eastAsia="Times New Roman"/>
      <w:szCs w:val="20"/>
    </w:rPr>
  </w:style>
  <w:style w:type="paragraph" w:customStyle="1" w:styleId="Version">
    <w:name w:val="Version"/>
    <w:basedOn w:val="Normal"/>
    <w:link w:val="VersionChar"/>
    <w:qFormat/>
    <w:rsid w:val="00460626"/>
    <w:pPr>
      <w:spacing w:before="120" w:after="120"/>
    </w:pPr>
    <w:rPr>
      <w:b/>
    </w:rPr>
  </w:style>
  <w:style w:type="character" w:customStyle="1" w:styleId="VersionChar">
    <w:name w:val="Version Char"/>
    <w:basedOn w:val="DefaultParagraphFont"/>
    <w:link w:val="Version"/>
    <w:rsid w:val="00460626"/>
    <w:rPr>
      <w:b/>
    </w:rPr>
  </w:style>
  <w:style w:type="character" w:styleId="PlaceholderText">
    <w:name w:val="Placeholder Text"/>
    <w:basedOn w:val="DefaultParagraphFont"/>
    <w:uiPriority w:val="99"/>
    <w:semiHidden/>
    <w:rsid w:val="0003366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relimorder2013(wmd'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A0360A-77DE-49F0-93F2-60035ECD5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prelimorder2013(wmd'a)</Template>
  <TotalTime>0</TotalTime>
  <Pages>4</Pages>
  <Words>1000</Words>
  <Characters>5700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6687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Kramer, John</dc:creator>
  <cp:keywords/>
  <dc:description/>
  <cp:lastModifiedBy>Kramer, John</cp:lastModifiedBy>
  <cp:revision>3</cp:revision>
  <cp:lastPrinted>2018-01-10T15:55:00Z</cp:lastPrinted>
  <dcterms:created xsi:type="dcterms:W3CDTF">2018-01-10T13:31:00Z</dcterms:created>
  <dcterms:modified xsi:type="dcterms:W3CDTF">2018-01-10T15:55:00Z</dcterms:modified>
</cp:coreProperties>
</file>